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F3" w:rsidRDefault="009957F3">
      <w:pPr>
        <w:ind w:left="800" w:hanging="800"/>
        <w:jc w:val="both"/>
        <w:rPr>
          <w:rFonts w:ascii="標楷體" w:hAnsi="標楷體"/>
          <w:color w:val="000000"/>
          <w:sz w:val="40"/>
          <w:szCs w:val="40"/>
        </w:rPr>
      </w:pPr>
      <w:bookmarkStart w:id="0" w:name="_GoBack"/>
      <w:bookmarkEnd w:id="0"/>
    </w:p>
    <w:tbl>
      <w:tblPr>
        <w:tblW w:w="9370" w:type="dxa"/>
        <w:tblInd w:w="2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137"/>
        <w:gridCol w:w="4139"/>
      </w:tblGrid>
      <w:tr w:rsidR="009957F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3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附表</w:t>
            </w:r>
            <w:proofErr w:type="gramStart"/>
            <w:r>
              <w:rPr>
                <w:rFonts w:ascii="標楷體" w:hAnsi="標楷體"/>
                <w:sz w:val="20"/>
              </w:rPr>
              <w:t>一</w:t>
            </w:r>
            <w:proofErr w:type="gramEnd"/>
          </w:p>
          <w:p w:rsidR="009957F3" w:rsidRDefault="00DA38FE">
            <w:pPr>
              <w:jc w:val="center"/>
            </w:pPr>
            <w:r>
              <w:rPr>
                <w:rFonts w:ascii="標楷體" w:hAnsi="標楷體"/>
                <w:szCs w:val="24"/>
              </w:rPr>
              <w:t>各機關員工國內出差旅費報支數額表修正規定</w:t>
            </w:r>
          </w:p>
        </w:tc>
      </w:tr>
      <w:tr w:rsidR="009957F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7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-84" w:firstLine="2"/>
              <w:jc w:val="right"/>
            </w:pPr>
            <w:r>
              <w:rPr>
                <w:rFonts w:ascii="標楷體" w:hAnsi="標楷體"/>
                <w:szCs w:val="24"/>
              </w:rPr>
              <w:t xml:space="preserve">            </w:t>
            </w:r>
            <w:r>
              <w:rPr>
                <w:rFonts w:ascii="標楷體" w:hAnsi="標楷體"/>
                <w:szCs w:val="24"/>
              </w:rPr>
              <w:t>單位：</w:t>
            </w:r>
            <w:r>
              <w:rPr>
                <w:rFonts w:ascii="標楷體" w:hAnsi="標楷體"/>
                <w:color w:val="000000"/>
                <w:szCs w:val="24"/>
              </w:rPr>
              <w:t>新臺幣</w:t>
            </w:r>
            <w:r>
              <w:rPr>
                <w:rFonts w:ascii="標楷體" w:hAnsi="標楷體"/>
                <w:szCs w:val="24"/>
              </w:rPr>
              <w:t>元</w:t>
            </w:r>
          </w:p>
        </w:tc>
      </w:tr>
      <w:tr w:rsidR="009957F3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rPr>
                <w:rFonts w:ascii="標楷體" w:hAnsi="標楷體"/>
                <w:szCs w:val="24"/>
              </w:rPr>
            </w:pPr>
            <w:proofErr w:type="gramStart"/>
            <w:r>
              <w:rPr>
                <w:rFonts w:ascii="標楷體" w:hAnsi="標楷體"/>
                <w:szCs w:val="24"/>
              </w:rPr>
              <w:t>費別</w:t>
            </w:r>
            <w:proofErr w:type="gramEnd"/>
          </w:p>
        </w:tc>
        <w:tc>
          <w:tcPr>
            <w:tcW w:w="8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數額</w:t>
            </w:r>
          </w:p>
        </w:tc>
      </w:tr>
      <w:tr w:rsidR="009957F3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交通費上限</w:t>
            </w:r>
          </w:p>
        </w:tc>
        <w:tc>
          <w:tcPr>
            <w:tcW w:w="8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5" w:firstLine="22"/>
              <w:jc w:val="both"/>
            </w:pPr>
            <w:r>
              <w:rPr>
                <w:rFonts w:ascii="標楷體" w:hAnsi="標楷體"/>
                <w:szCs w:val="24"/>
              </w:rPr>
              <w:t>搭乘飛機、高鐵、座</w:t>
            </w:r>
            <w:r>
              <w:rPr>
                <w:rFonts w:ascii="標楷體" w:hAnsi="標楷體"/>
                <w:szCs w:val="24"/>
              </w:rPr>
              <w:t>(</w:t>
            </w:r>
            <w:r>
              <w:rPr>
                <w:rFonts w:ascii="標楷體" w:hAnsi="標楷體"/>
                <w:szCs w:val="24"/>
              </w:rPr>
              <w:t>艙</w:t>
            </w:r>
            <w:r>
              <w:rPr>
                <w:rFonts w:ascii="標楷體" w:hAnsi="標楷體"/>
                <w:szCs w:val="24"/>
              </w:rPr>
              <w:t>)</w:t>
            </w:r>
            <w:r>
              <w:rPr>
                <w:rFonts w:ascii="標楷體" w:hAnsi="標楷體"/>
                <w:szCs w:val="24"/>
              </w:rPr>
              <w:t>位有分等之船舶、火車者，部會及相當部會以上層級之首長、副首長得乘坐商務艙（車廂）或相同之座（艙）位，其餘人員乘坐經濟（標準）座（艙、車）位。其餘交通工具，不分等次，</w:t>
            </w:r>
            <w:proofErr w:type="gramStart"/>
            <w:r>
              <w:rPr>
                <w:rFonts w:ascii="標楷體" w:hAnsi="標楷體"/>
                <w:szCs w:val="24"/>
              </w:rPr>
              <w:t>覈</w:t>
            </w:r>
            <w:proofErr w:type="gramEnd"/>
            <w:r>
              <w:rPr>
                <w:rFonts w:ascii="標楷體" w:hAnsi="標楷體"/>
                <w:szCs w:val="24"/>
              </w:rPr>
              <w:t>實報支。</w:t>
            </w:r>
          </w:p>
        </w:tc>
      </w:tr>
      <w:tr w:rsidR="009957F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-84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住宿費</w:t>
            </w:r>
          </w:p>
          <w:p w:rsidR="009957F3" w:rsidRDefault="00DA38FE">
            <w:pPr>
              <w:ind w:left="-84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每日上限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480" w:hanging="480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平日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480" w:hanging="480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假日</w:t>
            </w:r>
          </w:p>
        </w:tc>
      </w:tr>
      <w:tr w:rsidR="009957F3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9957F3">
            <w:pPr>
              <w:ind w:left="-84"/>
              <w:jc w:val="center"/>
              <w:rPr>
                <w:rFonts w:ascii="標楷體" w:hAnsi="標楷體"/>
                <w:color w:val="0000FF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480" w:hanging="480"/>
              <w:jc w:val="center"/>
            </w:pPr>
            <w:r>
              <w:rPr>
                <w:rFonts w:ascii="標楷體" w:hAnsi="標楷體"/>
                <w:color w:val="000000"/>
                <w:szCs w:val="24"/>
              </w:rPr>
              <w:t>3,500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480" w:hanging="480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4,500</w:t>
            </w:r>
          </w:p>
        </w:tc>
      </w:tr>
      <w:tr w:rsidR="009957F3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-84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雜費</w:t>
            </w:r>
          </w:p>
          <w:p w:rsidR="009957F3" w:rsidRDefault="00DA38FE">
            <w:pPr>
              <w:ind w:left="-84"/>
              <w:jc w:val="center"/>
            </w:pPr>
            <w:r>
              <w:rPr>
                <w:rFonts w:ascii="標楷體" w:hAnsi="標楷體"/>
                <w:color w:val="000000"/>
                <w:szCs w:val="24"/>
              </w:rPr>
              <w:t>每日上限</w:t>
            </w:r>
          </w:p>
        </w:tc>
        <w:tc>
          <w:tcPr>
            <w:tcW w:w="8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400</w:t>
            </w:r>
          </w:p>
        </w:tc>
      </w:tr>
      <w:tr w:rsidR="009957F3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937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F3" w:rsidRDefault="00DA38FE">
            <w:pPr>
              <w:ind w:left="727" w:hanging="727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備註：</w:t>
            </w:r>
          </w:p>
          <w:p w:rsidR="009957F3" w:rsidRDefault="00DA38FE">
            <w:pPr>
              <w:snapToGrid w:val="0"/>
              <w:ind w:left="720" w:hanging="480"/>
              <w:jc w:val="both"/>
            </w:pPr>
            <w:r>
              <w:rPr>
                <w:rFonts w:ascii="標楷體" w:hAnsi="標楷體"/>
                <w:color w:val="000000"/>
                <w:szCs w:val="24"/>
              </w:rPr>
              <w:t>一、購買含住宿及交通之套裝行程，得在不超過住宿費加計交通費之規定</w:t>
            </w:r>
            <w:r>
              <w:rPr>
                <w:rFonts w:ascii="標楷體" w:hAnsi="標楷體" w:cs="新細明體"/>
                <w:kern w:val="0"/>
                <w:szCs w:val="24"/>
                <w:lang w:eastAsia="zh"/>
              </w:rPr>
              <w:t>數額</w:t>
            </w:r>
            <w:r>
              <w:rPr>
                <w:rFonts w:ascii="標楷體" w:hAnsi="標楷體"/>
                <w:color w:val="000000"/>
                <w:szCs w:val="24"/>
              </w:rPr>
              <w:t>內檢據</w:t>
            </w:r>
            <w:proofErr w:type="gramStart"/>
            <w:r>
              <w:rPr>
                <w:rFonts w:ascii="標楷體" w:hAnsi="標楷體"/>
                <w:color w:val="000000"/>
                <w:szCs w:val="24"/>
              </w:rPr>
              <w:t>覈</w:t>
            </w:r>
            <w:proofErr w:type="gramEnd"/>
            <w:r>
              <w:rPr>
                <w:rFonts w:ascii="標楷體" w:hAnsi="標楷體"/>
                <w:color w:val="000000"/>
                <w:szCs w:val="24"/>
              </w:rPr>
              <w:t>實報支；搭乘飛機、高鐵、座</w:t>
            </w:r>
            <w:r>
              <w:rPr>
                <w:rFonts w:ascii="標楷體" w:hAnsi="標楷體"/>
                <w:color w:val="000000"/>
                <w:szCs w:val="24"/>
              </w:rPr>
              <w:t>(</w:t>
            </w:r>
            <w:r>
              <w:rPr>
                <w:rFonts w:ascii="標楷體" w:hAnsi="標楷體"/>
                <w:color w:val="000000"/>
                <w:szCs w:val="24"/>
              </w:rPr>
              <w:t>艙</w:t>
            </w:r>
            <w:r>
              <w:rPr>
                <w:rFonts w:ascii="標楷體" w:hAnsi="標楷體"/>
                <w:color w:val="000000"/>
                <w:szCs w:val="24"/>
              </w:rPr>
              <w:t>)</w:t>
            </w:r>
            <w:r>
              <w:rPr>
                <w:rFonts w:ascii="標楷體" w:hAnsi="標楷體"/>
                <w:color w:val="000000"/>
                <w:szCs w:val="24"/>
              </w:rPr>
              <w:t>位有分等之船舶、火車商務車廂或相同之座位者，應檢附票根或購票證明文件，但當日往返或使用經費結報系統報支者，無須檢</w:t>
            </w:r>
            <w:proofErr w:type="gramStart"/>
            <w:r>
              <w:rPr>
                <w:rFonts w:ascii="標楷體" w:hAnsi="標楷體"/>
                <w:color w:val="000000"/>
                <w:szCs w:val="24"/>
              </w:rPr>
              <w:t>附</w:t>
            </w:r>
            <w:proofErr w:type="gramEnd"/>
            <w:r>
              <w:rPr>
                <w:rFonts w:ascii="標楷體" w:hAnsi="標楷體"/>
                <w:color w:val="000000"/>
                <w:szCs w:val="24"/>
              </w:rPr>
              <w:t>。</w:t>
            </w:r>
          </w:p>
          <w:p w:rsidR="009957F3" w:rsidRDefault="00DA38FE">
            <w:pPr>
              <w:snapToGrid w:val="0"/>
              <w:ind w:left="720" w:hanging="480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二、住宿費應檢據</w:t>
            </w:r>
            <w:proofErr w:type="gramStart"/>
            <w:r>
              <w:rPr>
                <w:rFonts w:ascii="標楷體" w:hAnsi="標楷體"/>
                <w:color w:val="000000"/>
                <w:szCs w:val="24"/>
              </w:rPr>
              <w:t>覈</w:t>
            </w:r>
            <w:proofErr w:type="gramEnd"/>
            <w:r>
              <w:rPr>
                <w:rFonts w:ascii="標楷體" w:hAnsi="標楷體"/>
                <w:color w:val="000000"/>
                <w:szCs w:val="24"/>
              </w:rPr>
              <w:t>實報支。假日係指行政院函送政府行政機關辦公日曆表內之放假日，並包含放假日前一天，不含放假日最後一天。</w:t>
            </w:r>
          </w:p>
          <w:p w:rsidR="009957F3" w:rsidRDefault="00DA38FE">
            <w:pPr>
              <w:snapToGrid w:val="0"/>
              <w:ind w:left="720" w:hanging="480"/>
              <w:jc w:val="both"/>
            </w:pPr>
            <w:r>
              <w:rPr>
                <w:rFonts w:ascii="標楷體" w:hAnsi="標楷體"/>
                <w:color w:val="000000"/>
                <w:szCs w:val="24"/>
              </w:rPr>
              <w:t>三、雜費每日上限</w:t>
            </w:r>
            <w:r>
              <w:rPr>
                <w:rFonts w:ascii="標楷體" w:hAnsi="標楷體"/>
                <w:color w:val="000000"/>
                <w:szCs w:val="24"/>
              </w:rPr>
              <w:t>400</w:t>
            </w:r>
            <w:r>
              <w:rPr>
                <w:rFonts w:ascii="標楷體" w:hAnsi="標楷體"/>
                <w:color w:val="000000"/>
                <w:szCs w:val="24"/>
              </w:rPr>
              <w:t>元</w:t>
            </w:r>
            <w:r>
              <w:rPr>
                <w:rFonts w:ascii="新細明體" w:eastAsia="新細明體" w:hAnsi="新細明體"/>
                <w:color w:val="000000"/>
                <w:szCs w:val="24"/>
              </w:rPr>
              <w:t>。</w:t>
            </w:r>
            <w:r>
              <w:rPr>
                <w:rFonts w:ascii="標楷體" w:hAnsi="標楷體"/>
                <w:color w:val="000000"/>
                <w:szCs w:val="24"/>
              </w:rPr>
              <w:t>各機關基於業務特性或其他因素，於本要點所定範圍內另定報支規定者（如以公里數、小時數或出差地點等據以計支），依其規定辦理。</w:t>
            </w:r>
          </w:p>
          <w:p w:rsidR="009957F3" w:rsidRDefault="00DA38FE">
            <w:pPr>
              <w:snapToGrid w:val="0"/>
              <w:ind w:left="720" w:hanging="480"/>
              <w:jc w:val="both"/>
            </w:pPr>
            <w:r>
              <w:rPr>
                <w:rFonts w:ascii="標楷體" w:hAnsi="標楷體"/>
                <w:color w:val="000000"/>
                <w:szCs w:val="24"/>
              </w:rPr>
              <w:t>四、本要點修正生效後，出差期間跨越新、舊規定者，出差人員於舊規定出差</w:t>
            </w:r>
            <w:r>
              <w:rPr>
                <w:rFonts w:ascii="標楷體" w:hAnsi="標楷體" w:cs="新細明體"/>
                <w:kern w:val="0"/>
                <w:szCs w:val="24"/>
                <w:lang w:eastAsia="zh"/>
              </w:rPr>
              <w:t>期間</w:t>
            </w:r>
            <w:r>
              <w:rPr>
                <w:rFonts w:ascii="標楷體" w:hAnsi="標楷體"/>
                <w:color w:val="000000"/>
                <w:szCs w:val="24"/>
              </w:rPr>
              <w:t>適用舊規定；於新規定出差期間適用新規定。</w:t>
            </w:r>
          </w:p>
        </w:tc>
      </w:tr>
    </w:tbl>
    <w:p w:rsidR="009957F3" w:rsidRDefault="009957F3">
      <w:pPr>
        <w:ind w:left="560" w:hanging="560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</w:p>
    <w:p w:rsidR="009957F3" w:rsidRDefault="009957F3">
      <w:pPr>
        <w:pStyle w:val="001"/>
        <w:spacing w:line="360" w:lineRule="exact"/>
        <w:ind w:left="220" w:hanging="220"/>
        <w:rPr>
          <w:sz w:val="22"/>
          <w:szCs w:val="22"/>
        </w:rPr>
      </w:pPr>
    </w:p>
    <w:sectPr w:rsidR="009957F3">
      <w:footerReference w:type="default" r:id="rId6"/>
      <w:pgSz w:w="11907" w:h="16840"/>
      <w:pgMar w:top="1418" w:right="1418" w:bottom="1418" w:left="1418" w:header="454" w:footer="567" w:gutter="0"/>
      <w:pgNumType w:start="368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8FE" w:rsidRDefault="00DA38FE">
      <w:r>
        <w:separator/>
      </w:r>
    </w:p>
  </w:endnote>
  <w:endnote w:type="continuationSeparator" w:id="0">
    <w:p w:rsidR="00DA38FE" w:rsidRDefault="00DA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明體">
    <w:panose1 w:val="02000409000000000000"/>
    <w:charset w:val="88"/>
    <w:family w:val="modern"/>
    <w:pitch w:val="fixed"/>
    <w:sig w:usb0="800002E3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E8" w:rsidRDefault="00DA38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8FE" w:rsidRDefault="00DA38FE">
      <w:r>
        <w:rPr>
          <w:color w:val="000000"/>
        </w:rPr>
        <w:separator/>
      </w:r>
    </w:p>
  </w:footnote>
  <w:footnote w:type="continuationSeparator" w:id="0">
    <w:p w:rsidR="00DA38FE" w:rsidRDefault="00DA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57F3"/>
    <w:rsid w:val="002D55A5"/>
    <w:rsid w:val="009957F3"/>
    <w:rsid w:val="00D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3749F-A474-480A-9B41-70887305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38" w:hanging="238"/>
    </w:pPr>
  </w:style>
  <w:style w:type="paragraph" w:styleId="2">
    <w:name w:val="Body Text Indent 2"/>
    <w:basedOn w:val="a"/>
    <w:pPr>
      <w:spacing w:line="320" w:lineRule="exact"/>
      <w:ind w:left="960" w:hanging="960"/>
    </w:pPr>
  </w:style>
  <w:style w:type="paragraph" w:styleId="3">
    <w:name w:val="Body Text Indent 3"/>
    <w:basedOn w:val="a"/>
    <w:pPr>
      <w:spacing w:line="320" w:lineRule="exact"/>
      <w:ind w:left="960"/>
    </w:p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01">
    <w:name w:val="001.條一"/>
    <w:pPr>
      <w:widowControl w:val="0"/>
      <w:suppressAutoHyphens/>
      <w:spacing w:line="220" w:lineRule="exact"/>
      <w:ind w:left="100" w:hanging="100"/>
      <w:jc w:val="both"/>
    </w:pPr>
    <w:rPr>
      <w:rFonts w:eastAsia="華康細明體"/>
      <w:sz w:val="18"/>
    </w:rPr>
  </w:style>
  <w:style w:type="paragraph" w:customStyle="1" w:styleId="0010">
    <w:name w:val="001.條一.一、"/>
    <w:basedOn w:val="001"/>
    <w:pPr>
      <w:ind w:left="300" w:hanging="200"/>
    </w:pPr>
  </w:style>
  <w:style w:type="paragraph" w:customStyle="1" w:styleId="0011">
    <w:name w:val="001.條一文"/>
    <w:basedOn w:val="001"/>
    <w:pPr>
      <w:ind w:firstLine="0"/>
    </w:pPr>
  </w:style>
  <w:style w:type="paragraph" w:customStyle="1" w:styleId="0012">
    <w:name w:val="001.章"/>
    <w:pPr>
      <w:suppressAutoHyphens/>
      <w:spacing w:before="10" w:after="10" w:line="360" w:lineRule="exact"/>
      <w:ind w:left="400"/>
      <w:jc w:val="both"/>
    </w:pPr>
    <w:rPr>
      <w:rFonts w:eastAsia="華康楷書體W5"/>
      <w:sz w:val="28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附錄</dc:title>
  <dc:subject/>
  <dc:creator>一科</dc:creator>
  <cp:lastModifiedBy>hjlin</cp:lastModifiedBy>
  <cp:revision>2</cp:revision>
  <cp:lastPrinted>2024-05-01T13:27:00Z</cp:lastPrinted>
  <dcterms:created xsi:type="dcterms:W3CDTF">2025-02-12T03:10:00Z</dcterms:created>
  <dcterms:modified xsi:type="dcterms:W3CDTF">2025-02-12T03:10:00Z</dcterms:modified>
</cp:coreProperties>
</file>